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Lines="50" w:after="140" w:afterLines="50" w:line="480" w:lineRule="exact"/>
        <w:jc w:val="center"/>
        <w:outlineLvl w:val="0"/>
        <w:rPr>
          <w:rFonts w:hint="eastAsia"/>
          <w:sz w:val="36"/>
          <w:szCs w:val="32"/>
          <w:lang w:eastAsia="zh-CN"/>
        </w:rPr>
      </w:pPr>
      <w:r>
        <w:rPr>
          <w:rFonts w:ascii="宋体" w:hAnsi="宋体" w:eastAsia="宋体" w:cs="宋体"/>
          <w:b/>
          <w:bCs/>
          <w:spacing w:val="-4"/>
          <w:sz w:val="36"/>
          <w:szCs w:val="36"/>
          <w:lang w:eastAsia="zh-CN"/>
        </w:rPr>
        <w:t>北京师范大学附属实验中学社团申请表</w:t>
      </w:r>
    </w:p>
    <w:p>
      <w:pPr>
        <w:pStyle w:val="2"/>
        <w:spacing w:before="0" w:beforeLines="50" w:after="140" w:afterLines="50" w:line="380" w:lineRule="exact"/>
        <w:jc w:val="center"/>
        <w:outlineLvl w:val="0"/>
        <w:rPr>
          <w:rFonts w:hint="eastAsia"/>
          <w:b/>
          <w:bCs/>
          <w:spacing w:val="-1"/>
          <w:sz w:val="28"/>
          <w:szCs w:val="24"/>
          <w:lang w:eastAsia="zh-CN"/>
        </w:rPr>
      </w:pPr>
      <w:r>
        <w:rPr>
          <w:rFonts w:ascii="宋体" w:hAnsi="宋体" w:eastAsia="宋体" w:cs="宋体"/>
          <w:b/>
          <w:bCs/>
          <w:spacing w:val="-1"/>
          <w:sz w:val="28"/>
          <w:szCs w:val="28"/>
          <w:lang w:eastAsia="zh-CN"/>
        </w:rPr>
        <w:t>（2026-2027学年）</w:t>
      </w:r>
    </w:p>
    <w:tbl>
      <w:tblPr>
        <w:tblStyle w:val="6"/>
        <w:tblW w:w="104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100" w:type="dxa"/>
          <w:bottom w:w="75" w:type="dxa"/>
          <w:right w:w="100" w:type="dxa"/>
        </w:tblCellMar>
      </w:tblPr>
      <w:tblGrid>
        <w:gridCol w:w="2064"/>
        <w:gridCol w:w="2128"/>
        <w:gridCol w:w="1993"/>
        <w:gridCol w:w="2064"/>
        <w:gridCol w:w="2215"/>
      </w:tblGrid>
      <w:tr>
        <w:trPr>
          <w:jc w:val="center"/>
        </w:trPr>
        <w:tc>
          <w:tcPr>
            <w:tcW w:w="2064" w:type="dxa"/>
            <w:vMerge w:val="restart"/>
            <w:vAlign w:val="center"/>
          </w:tcPr>
          <w:p>
            <w:pPr>
              <w:keepNext w:val="0"/>
              <w:keepLines w:val="0"/>
              <w:pageBreakBefore w:val="0"/>
              <w:widowControl/>
              <w:spacing w:before="0" w:after="40" w:line="300" w:lineRule="exact"/>
              <w:ind w:left="0" w:right="0" w:firstLine="0"/>
              <w:jc w:val="center"/>
              <w:rPr>
                <w:rFonts w:eastAsiaTheme="minorEastAsia"/>
                <w:b/>
                <w:sz w:val="28"/>
                <w:szCs w:val="28"/>
                <w:lang w:eastAsia="zh-CN"/>
              </w:rPr>
            </w:pPr>
            <w:r>
              <w:rPr>
                <w:rFonts w:ascii="Calibri" w:hAnsi="Calibri" w:eastAsia="Noto Sans CJK SC" w:cs="宋体"/>
                <w:b/>
                <w:color w:val="000000"/>
                <w:sz w:val="21"/>
                <w:szCs w:val="28"/>
                <w:lang w:eastAsia="zh-CN"/>
              </w:rPr>
              <w:t>申请人信息</w:t>
            </w: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姓名</w:t>
            </w:r>
          </w:p>
        </w:tc>
        <w:tc>
          <w:tcPr>
            <w:tcW w:w="1993" w:type="dxa"/>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21"/>
              </w:rPr>
              <w:t>陈钇霖</w:t>
            </w:r>
          </w:p>
        </w:tc>
        <w:tc>
          <w:tcPr>
            <w:tcW w:w="2064"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性别</w:t>
            </w:r>
          </w:p>
        </w:tc>
        <w:tc>
          <w:tcPr>
            <w:tcW w:w="2215" w:type="dxa"/>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21"/>
              </w:rPr>
              <w:t>女</w:t>
            </w: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年级班级</w:t>
            </w:r>
          </w:p>
        </w:tc>
        <w:tc>
          <w:tcPr>
            <w:tcW w:w="1993" w:type="dxa"/>
            <w:vAlign w:val="center"/>
          </w:tcPr>
          <w:p>
            <w:pPr>
              <w:keepNext w:val="0"/>
              <w:keepLines w:val="0"/>
              <w:pageBreakBefore w:val="0"/>
              <w:widowControl/>
              <w:spacing w:before="0" w:after="40" w:line="300" w:lineRule="exact"/>
              <w:ind w:left="0" w:right="0" w:firstLine="0"/>
              <w:jc w:val="center"/>
              <w:rPr>
                <w:rFonts w:hint="default" w:eastAsia="宋体"/>
                <w:lang w:val="en-US" w:eastAsia="zh-CN"/>
              </w:rPr>
            </w:pPr>
            <w:r>
              <w:rPr>
                <w:rFonts w:ascii="Calibri" w:hAnsi="Calibri" w:eastAsia="Noto Sans CJK SC" w:cs="宋体"/>
                <w:b w:val="0"/>
                <w:color w:val="000000"/>
                <w:sz w:val="21"/>
                <w:szCs w:val="19"/>
              </w:rPr>
              <w:t>高一</w:t>
            </w:r>
            <w:r>
              <w:rPr>
                <w:rFonts w:hint="eastAsia" w:ascii="Calibri" w:hAnsi="Calibri" w:eastAsia="Noto Sans CJK SC" w:cs="宋体"/>
                <w:b w:val="0"/>
                <w:color w:val="000000"/>
                <w:sz w:val="21"/>
                <w:szCs w:val="19"/>
                <w:lang w:val="en-US" w:eastAsia="zh-CN"/>
              </w:rPr>
              <w:t>22班</w:t>
            </w:r>
          </w:p>
        </w:tc>
        <w:tc>
          <w:tcPr>
            <w:tcW w:w="2064" w:type="dxa"/>
            <w:vAlign w:val="center"/>
          </w:tcPr>
          <w:p>
            <w:pPr>
              <w:keepNext w:val="0"/>
              <w:keepLines w:val="0"/>
              <w:pageBreakBefore w:val="0"/>
              <w:widowControl/>
              <w:spacing w:before="0" w:after="40" w:line="300" w:lineRule="exact"/>
              <w:ind w:left="0" w:right="0" w:firstLine="0"/>
              <w:jc w:val="center"/>
              <w:rPr>
                <w:rFonts w:hint="eastAsia" w:eastAsiaTheme="minorEastAsia"/>
                <w:b/>
                <w:bCs/>
                <w:sz w:val="24"/>
                <w:szCs w:val="24"/>
                <w:lang w:eastAsia="zh-CN"/>
              </w:rPr>
            </w:pPr>
            <w:r>
              <w:rPr>
                <w:rFonts w:ascii="Calibri" w:hAnsi="Calibri" w:eastAsia="Noto Sans CJK SC" w:cs="宋体"/>
                <w:b/>
                <w:bCs/>
                <w:color w:val="000000"/>
                <w:sz w:val="21"/>
                <w:szCs w:val="24"/>
                <w:lang w:eastAsia="zh-CN"/>
              </w:rPr>
              <w:t>电子邮件地址</w:t>
            </w:r>
          </w:p>
        </w:tc>
        <w:tc>
          <w:tcPr>
            <w:tcW w:w="2215" w:type="dxa"/>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17"/>
              </w:rPr>
              <w:t>lindiachen9121@</w:t>
            </w:r>
          </w:p>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17"/>
              </w:rPr>
              <w:t>outlook.com</w:t>
            </w: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电话</w:t>
            </w:r>
          </w:p>
        </w:tc>
        <w:tc>
          <w:tcPr>
            <w:tcW w:w="1993" w:type="dxa"/>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19"/>
              </w:rPr>
              <w:t>185-1310-9121</w:t>
            </w:r>
          </w:p>
        </w:tc>
        <w:tc>
          <w:tcPr>
            <w:tcW w:w="2064"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微信号</w:t>
            </w:r>
          </w:p>
        </w:tc>
        <w:tc>
          <w:tcPr>
            <w:tcW w:w="2215" w:type="dxa"/>
            <w:vAlign w:val="center"/>
          </w:tcPr>
          <w:p>
            <w:pPr>
              <w:keepNext w:val="0"/>
              <w:keepLines w:val="0"/>
              <w:pageBreakBefore w:val="0"/>
              <w:widowControl/>
              <w:spacing w:before="0" w:after="40" w:line="300" w:lineRule="exact"/>
              <w:ind w:left="0" w:right="0" w:firstLine="0"/>
              <w:jc w:val="center"/>
              <w:rPr>
                <w:rFonts w:hint="default"/>
                <w:lang w:val="en-US"/>
              </w:rPr>
            </w:pPr>
            <w:r>
              <w:rPr>
                <w:rFonts w:hint="default" w:ascii="Calibri" w:hAnsi="Calibri" w:eastAsia="Noto Sans CJK SC" w:cs="宋体"/>
                <w:b w:val="0"/>
                <w:color w:val="000000"/>
                <w:sz w:val="21"/>
                <w:szCs w:val="21"/>
                <w:lang w:val="en-US"/>
              </w:rPr>
              <w:t>Lindia-Chen</w:t>
            </w:r>
          </w:p>
        </w:tc>
      </w:tr>
      <w:tr>
        <w:trPr>
          <w:jc w:val="center"/>
        </w:trPr>
        <w:tc>
          <w:tcPr>
            <w:tcW w:w="2064" w:type="dxa"/>
            <w:vMerge w:val="restart"/>
            <w:vAlign w:val="center"/>
          </w:tcPr>
          <w:p>
            <w:pPr>
              <w:keepNext w:val="0"/>
              <w:keepLines w:val="0"/>
              <w:pageBreakBefore w:val="0"/>
              <w:widowControl/>
              <w:spacing w:before="0" w:after="40" w:line="300" w:lineRule="exact"/>
              <w:ind w:left="0" w:right="0" w:firstLine="0"/>
              <w:jc w:val="center"/>
              <w:rPr>
                <w:rFonts w:eastAsiaTheme="minorEastAsia"/>
                <w:b/>
                <w:sz w:val="28"/>
                <w:szCs w:val="28"/>
                <w:lang w:eastAsia="zh-CN"/>
              </w:rPr>
            </w:pPr>
            <w:r>
              <w:rPr>
                <w:rFonts w:ascii="Calibri" w:hAnsi="Calibri" w:eastAsia="Noto Sans CJK SC" w:cs="宋体"/>
                <w:b/>
                <w:color w:val="000000"/>
                <w:sz w:val="21"/>
                <w:szCs w:val="28"/>
                <w:lang w:eastAsia="zh-CN"/>
              </w:rPr>
              <w:t>社团信息</w:t>
            </w: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社团名称</w:t>
            </w:r>
          </w:p>
        </w:tc>
        <w:tc>
          <w:tcPr>
            <w:tcW w:w="6272" w:type="dxa"/>
            <w:gridSpan w:val="3"/>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color w:val="000000"/>
                <w:sz w:val="21"/>
                <w:szCs w:val="20"/>
              </w:rPr>
              <w:t>经济研究与评论社</w:t>
            </w:r>
            <w:r>
              <w:rPr>
                <w:rFonts w:ascii="Calibri" w:hAnsi="Calibri" w:eastAsia="Noto Sans CJK SC" w:cs="宋体"/>
                <w:b/>
                <w:color w:val="000000"/>
                <w:sz w:val="21"/>
                <w:szCs w:val="20"/>
              </w:rPr>
              <w:br w:type="textWrapping"/>
            </w:r>
            <w:r>
              <w:rPr>
                <w:rFonts w:ascii="Calibri" w:hAnsi="Calibri" w:eastAsia="Noto Sans CJK SC" w:cs="宋体"/>
                <w:b/>
                <w:color w:val="000000"/>
                <w:sz w:val="21"/>
                <w:szCs w:val="20"/>
              </w:rPr>
              <w:t>Economics Research &amp; Review Society</w:t>
            </w: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社团情况</w:t>
            </w:r>
          </w:p>
        </w:tc>
        <w:tc>
          <w:tcPr>
            <w:tcW w:w="6272" w:type="dxa"/>
            <w:gridSpan w:val="3"/>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20"/>
              </w:rPr>
              <w:t>老社团续申（ ）          新社团申请（√）</w:t>
            </w: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指导教师</w:t>
            </w:r>
          </w:p>
        </w:tc>
        <w:tc>
          <w:tcPr>
            <w:tcW w:w="6272" w:type="dxa"/>
            <w:gridSpan w:val="3"/>
            <w:vAlign w:val="center"/>
          </w:tcPr>
          <w:p>
            <w:pPr>
              <w:keepNext w:val="0"/>
              <w:keepLines w:val="0"/>
              <w:pageBreakBefore w:val="0"/>
              <w:widowControl/>
              <w:spacing w:before="0" w:after="40" w:line="300" w:lineRule="exact"/>
              <w:ind w:left="0" w:right="0" w:firstLine="0"/>
              <w:jc w:val="center"/>
              <w:rPr>
                <w:rFonts w:hint="eastAsia" w:eastAsia="宋体"/>
                <w:lang w:eastAsia="zh-CN"/>
              </w:rPr>
            </w:pP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活动时间</w:t>
            </w:r>
          </w:p>
        </w:tc>
        <w:tc>
          <w:tcPr>
            <w:tcW w:w="6272" w:type="dxa"/>
            <w:gridSpan w:val="3"/>
            <w:vAlign w:val="center"/>
          </w:tcPr>
          <w:p>
            <w:pPr>
              <w:keepNext w:val="0"/>
              <w:keepLines w:val="0"/>
              <w:pageBreakBefore w:val="0"/>
              <w:widowControl/>
              <w:spacing w:before="0" w:after="40" w:line="300" w:lineRule="exact"/>
              <w:ind w:left="0" w:right="0" w:firstLine="0"/>
              <w:jc w:val="center"/>
            </w:pPr>
            <w:r>
              <w:rPr>
                <w:rFonts w:ascii="Calibri" w:hAnsi="Calibri" w:eastAsia="Noto Sans CJK SC" w:cs="宋体"/>
                <w:b w:val="0"/>
                <w:color w:val="000000"/>
                <w:sz w:val="21"/>
                <w:szCs w:val="19"/>
              </w:rPr>
              <w:t>每周1次，每次45-60分钟（具体时间服从学校安排）</w:t>
            </w: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社团公众号</w:t>
            </w:r>
          </w:p>
        </w:tc>
        <w:tc>
          <w:tcPr>
            <w:tcW w:w="6272" w:type="dxa"/>
            <w:gridSpan w:val="3"/>
            <w:vAlign w:val="center"/>
          </w:tcPr>
          <w:p>
            <w:pPr>
              <w:keepNext w:val="0"/>
              <w:keepLines w:val="0"/>
              <w:pageBreakBefore w:val="0"/>
              <w:widowControl/>
              <w:spacing w:before="0" w:after="40" w:line="300" w:lineRule="exact"/>
              <w:ind w:left="0" w:right="0" w:firstLine="0"/>
              <w:jc w:val="center"/>
              <w:rPr>
                <w:rFonts w:hint="eastAsia" w:eastAsia="宋体"/>
                <w:lang w:eastAsia="zh-CN"/>
              </w:rPr>
            </w:pPr>
          </w:p>
        </w:tc>
      </w:tr>
      <w:tr>
        <w:trPr>
          <w:jc w:val="center"/>
        </w:trPr>
        <w:tc>
          <w:tcPr>
            <w:tcW w:w="2064" w:type="dxa"/>
            <w:vMerge w:val="continue"/>
            <w:vAlign w:val="center"/>
          </w:tcPr>
          <w:p>
            <w:pPr>
              <w:jc w:val="center"/>
              <w:rPr>
                <w:rFonts w:eastAsiaTheme="minorEastAsia"/>
                <w:sz w:val="24"/>
                <w:szCs w:val="24"/>
                <w:lang w:eastAsia="zh-CN"/>
              </w:rPr>
            </w:pPr>
          </w:p>
        </w:tc>
        <w:tc>
          <w:tcPr>
            <w:tcW w:w="2128" w:type="dxa"/>
            <w:vAlign w:val="center"/>
          </w:tcPr>
          <w:p>
            <w:pPr>
              <w:keepNext w:val="0"/>
              <w:keepLines w:val="0"/>
              <w:pageBreakBefore w:val="0"/>
              <w:widowControl/>
              <w:spacing w:before="0" w:after="40" w:line="300" w:lineRule="exact"/>
              <w:ind w:left="0" w:right="0" w:firstLine="0"/>
              <w:jc w:val="center"/>
              <w:rPr>
                <w:rFonts w:eastAsiaTheme="minorEastAsia"/>
                <w:b/>
                <w:bCs/>
                <w:sz w:val="24"/>
                <w:szCs w:val="24"/>
                <w:lang w:eastAsia="zh-CN"/>
              </w:rPr>
            </w:pPr>
            <w:r>
              <w:rPr>
                <w:rFonts w:ascii="Calibri" w:hAnsi="Calibri" w:eastAsia="Noto Sans CJK SC" w:cs="宋体"/>
                <w:b/>
                <w:bCs/>
                <w:color w:val="000000"/>
                <w:sz w:val="21"/>
                <w:szCs w:val="24"/>
                <w:lang w:eastAsia="zh-CN"/>
              </w:rPr>
              <w:t>当前社员数</w:t>
            </w:r>
          </w:p>
          <w:p>
            <w:pPr>
              <w:keepNext w:val="0"/>
              <w:keepLines w:val="0"/>
              <w:pageBreakBefore w:val="0"/>
              <w:widowControl/>
              <w:spacing w:before="0" w:after="40" w:line="300" w:lineRule="exact"/>
              <w:ind w:left="0" w:right="0" w:firstLine="0"/>
              <w:jc w:val="center"/>
              <w:rPr>
                <w:rFonts w:eastAsiaTheme="minorEastAsia"/>
                <w:sz w:val="24"/>
                <w:szCs w:val="24"/>
                <w:lang w:eastAsia="zh-CN"/>
              </w:rPr>
            </w:pPr>
            <w:r>
              <w:rPr>
                <w:rFonts w:ascii="Calibri" w:hAnsi="Calibri" w:eastAsia="Noto Sans CJK SC" w:cs="宋体"/>
                <w:b w:val="0"/>
                <w:color w:val="000000"/>
                <w:sz w:val="21"/>
                <w:szCs w:val="22"/>
                <w:lang w:eastAsia="zh-CN"/>
              </w:rPr>
              <w:t>（新社团写“0”）</w:t>
            </w:r>
          </w:p>
        </w:tc>
        <w:tc>
          <w:tcPr>
            <w:tcW w:w="6272" w:type="dxa"/>
            <w:gridSpan w:val="3"/>
            <w:vAlign w:val="center"/>
          </w:tcPr>
          <w:p>
            <w:pPr>
              <w:keepNext w:val="0"/>
              <w:keepLines w:val="0"/>
              <w:pageBreakBefore w:val="0"/>
              <w:widowControl/>
              <w:spacing w:before="0" w:after="40" w:line="300" w:lineRule="exact"/>
              <w:ind w:left="0" w:right="0" w:firstLine="0"/>
              <w:jc w:val="center"/>
              <w:rPr>
                <w:rFonts w:hint="eastAsia" w:eastAsia="宋体"/>
                <w:lang w:eastAsia="zh-CN"/>
              </w:rPr>
            </w:pPr>
            <w:r>
              <w:rPr>
                <w:rFonts w:hint="eastAsia" w:ascii="Calibri" w:hAnsi="Calibri" w:eastAsia="Noto Sans CJK SC" w:cs="宋体"/>
                <w:b w:val="0"/>
                <w:color w:val="000000"/>
                <w:sz w:val="21"/>
                <w:szCs w:val="21"/>
                <w:lang w:val="en-US" w:eastAsia="zh-CN"/>
              </w:rPr>
              <w:t>5</w:t>
            </w:r>
            <w:bookmarkStart w:id="0" w:name="_GoBack"/>
            <w:bookmarkEnd w:id="0"/>
          </w:p>
        </w:tc>
      </w:tr>
      <w:tr>
        <w:trPr>
          <w:jc w:val="center"/>
        </w:trPr>
        <w:tc>
          <w:tcPr>
            <w:tcW w:w="10464" w:type="dxa"/>
            <w:gridSpan w:val="5"/>
            <w:vAlign w:val="center"/>
          </w:tcPr>
          <w:p>
            <w:pPr>
              <w:keepNext w:val="0"/>
              <w:keepLines w:val="0"/>
              <w:pageBreakBefore w:val="0"/>
              <w:widowControl/>
              <w:spacing w:before="0" w:after="40" w:line="400" w:lineRule="exact"/>
              <w:ind w:left="0" w:right="0" w:firstLine="0"/>
              <w:jc w:val="center"/>
            </w:pPr>
            <w:r>
              <w:rPr>
                <w:rFonts w:ascii="Calibri" w:hAnsi="Calibri" w:eastAsia="Noto Sans CJK SC"/>
                <w:b/>
                <w:color w:val="000000"/>
                <w:sz w:val="26"/>
              </w:rPr>
              <w:t>社团简介</w:t>
            </w:r>
          </w:p>
        </w:tc>
      </w:tr>
      <w:tr>
        <w:trPr>
          <w:jc w:val="center"/>
        </w:trPr>
        <w:tc>
          <w:tcPr>
            <w:tcW w:w="10464" w:type="dxa"/>
            <w:gridSpan w:val="5"/>
            <w:vAlign w:val="top"/>
          </w:tcPr>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经济研究与评论社拟面向对经济、金融、科技发展及公共政策感兴趣的同学，以经济学分析现实问题，以资料检索、数据研究、学生写作和公开交流为主要活动方式。社团希望帮助成员从“关注一个热点”进一步走向“提出一个问题、寻找可靠证据、形成独立判断”，在合作中提升研究能力、学术表达和公共讨论能力，并为学校建立持续积累学生研究成果的平台。</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社团以“经济研究与评论”为统一定位，拟创办《实验经济评论》（Shiyan Economics Review），设置“新兴市场观察”“科技与产业”“金融与宏观”“社会与公共政策”四个栏目。新兴市场研究作为特色方向长期保留，其他栏目围绕激励机制、资源配置、市场结构与政策效果展开。不同学科兴趣可以进入同一平台，但每篇作品均须回答具体经济问题，说明研究对象、证据来源与分析边界，避免内容成为缺少共同主题的时事合集。</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团欢迎不同基础的同学参加。成员可根据兴趣选择作者、责任编辑、数据核查、图表设计、采访主持或活动策划等角色，通过个人研究和小组合作共同完成作品。初期拟招募12—20名成员；申请人负责社团统筹与首期刊物建设，在指导教师支持下逐步培养能够独立组织研究、编辑和活动的新成员。</w:t>
            </w:r>
          </w:p>
        </w:tc>
      </w:tr>
    </w:tbl>
    <w:p>
      <w:pPr>
        <w:spacing w:before="0" w:after="0" w:line="20" w:lineRule="exact"/>
      </w:pPr>
      <w:r>
        <w:br w:type="page"/>
      </w:r>
    </w:p>
    <w:tbl>
      <w:tblPr>
        <w:tblStyle w:val="5"/>
        <w:tblW w:w="10464"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100" w:type="dxa"/>
          <w:bottom w:w="75" w:type="dxa"/>
          <w:right w:w="100" w:type="dxa"/>
        </w:tblCellMar>
      </w:tblPr>
      <w:tblGrid>
        <w:gridCol w:w="10464"/>
      </w:tblGrid>
      <w:tr>
        <w:trPr>
          <w:tblHeader/>
        </w:trPr>
        <w:tc>
          <w:tcPr>
            <w:tcW w:w="10464" w:type="dxa"/>
            <w:vAlign w:val="center"/>
          </w:tcPr>
          <w:p>
            <w:pPr>
              <w:keepNext w:val="0"/>
              <w:keepLines w:val="0"/>
              <w:pageBreakBefore w:val="0"/>
              <w:widowControl/>
              <w:spacing w:before="0" w:after="40" w:line="400" w:lineRule="exact"/>
              <w:ind w:left="0" w:right="0" w:firstLine="0"/>
              <w:jc w:val="center"/>
            </w:pPr>
            <w:r>
              <w:rPr>
                <w:rFonts w:ascii="Calibri" w:hAnsi="Calibri" w:eastAsia="Noto Sans CJK SC"/>
                <w:b/>
                <w:color w:val="000000"/>
                <w:sz w:val="26"/>
              </w:rPr>
              <w:t>社团简介（续）：办刊机制与组织建设</w:t>
            </w:r>
          </w:p>
        </w:tc>
      </w:tr>
      <w:tr>
        <w:tc>
          <w:tcPr>
            <w:tcW w:w="10464" w:type="dxa"/>
            <w:vAlign w:val="top"/>
          </w:tcPr>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参考学生刊物模式，建立研究与交流相衔接的平台</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社团拟参考Columbia Economics Review（CER）的学生办刊经验，将学期刊物、日常内容传播和公共交流活动相结合。CER公开材料呈现了学生运营、研究征稿、编辑修改、线上内容及征文展示等做法；其历史社团介绍亦将刊物、线上内容与活动运营列为主要功能。本社团将这些经验转化为适合高中生的研究训练与校园交流机制，以学生实际完成的作品和讨论为中心，形成“选题—研究—审阅—展示—修订—发表”的持续过程。</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围绕共同议题设置栏目，兼顾特色与开放性</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新兴市场观察”聚焦具体经济体的发展、贸易和产业升级，如越南电子产品出口结构与区域合作；“科技与产业”讨论人工智能采用成本、企业竞争及劳动任务变化；“金融与宏观”研究通胀、利率、融资与经济波动；“社会与公共政策”关注教育、交通、环境与公共服务中的资源分配。每期拟围绕一个共同专题组织部分稿件，同时保留其他栏目的精选作品。首期主题拟为“技术、市场与机会”，不要求四个栏目同时达到固定篇数。</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建立分层写作与责任编辑制度</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实验经济评论》拟每学期编成一期，优先制作电子版，并在条件允许时印制少量展示样本。稿件可采用研究文章、经济评论、政策简报、数据短札、研究解读或访谈选编等形式。初学者可从一张图表、一篇文献或一个案例入手，有研究基础的成员可完成较完整的分析文章。首期拟形成4—6篇主稿及2—4篇短内容，数量随稿件质量和编辑进度调整。正文可使用中文或英文，重点作品配简短双语摘要，重视内容准确与表达清楚。</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每篇主稿由一名责任编辑持续跟进。作者先提交研究问题、对象范围、初步机制和资料来源，再完成提纲与初稿；初稿由两名非作者成员分别从论证和证据角度提出意见，作者据此修改并提交回应说明。数据与视觉成员核对统计口径、图表和关键数值，总编与指导教师审阅后形成终稿。每篇文章应呈现证据、替代解释及研究局限；使用人工智能辅助检索、编程、翻译或润色时说明用途，并由作者核实事实与引用。</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让不同岗位形成真实贡献，逐步实现组织传承</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长负责排期、校内沟通和活动协调，总编与责任编辑负责选题、稿件反馈和终稿质量，数据与视觉成员负责核查和呈现，活动与传播成员负责征集、报名、主持和会务。初期允许兼任，逐篇工作由小组分担。成员按实际贡献署名，负责人自己的文章由其他编辑组织评议；学期内轮换主持、导读和评议岗位，学期末整理稿件台账、编辑规范、活动流程及作品目录，形成下一届成员可以继续使用的交接材料。</w:t>
            </w:r>
          </w:p>
        </w:tc>
      </w:tr>
    </w:tbl>
    <w:p>
      <w:pPr>
        <w:spacing w:before="0" w:after="0" w:line="20" w:lineRule="exact"/>
      </w:pPr>
      <w:r>
        <w:br w:type="page"/>
      </w:r>
    </w:p>
    <w:tbl>
      <w:tblPr>
        <w:tblStyle w:val="5"/>
        <w:tblW w:w="10464"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100" w:type="dxa"/>
          <w:bottom w:w="75" w:type="dxa"/>
          <w:right w:w="100" w:type="dxa"/>
        </w:tblCellMar>
      </w:tblPr>
      <w:tblGrid>
        <w:gridCol w:w="10464"/>
      </w:tblGrid>
      <w:tr>
        <w:trPr>
          <w:tblHeader/>
        </w:trPr>
        <w:tc>
          <w:tcPr>
            <w:tcW w:w="10464" w:type="dxa"/>
            <w:vAlign w:val="center"/>
          </w:tcPr>
          <w:p>
            <w:pPr>
              <w:keepNext w:val="0"/>
              <w:keepLines w:val="0"/>
              <w:pageBreakBefore w:val="0"/>
              <w:widowControl/>
              <w:spacing w:before="0" w:after="40" w:line="400" w:lineRule="exact"/>
              <w:ind w:left="0" w:right="0" w:firstLine="0"/>
              <w:jc w:val="center"/>
            </w:pPr>
            <w:r>
              <w:rPr>
                <w:rFonts w:ascii="Calibri" w:hAnsi="Calibri" w:eastAsia="Noto Sans CJK SC"/>
                <w:b/>
                <w:color w:val="000000"/>
                <w:sz w:val="26"/>
              </w:rPr>
              <w:t>社团年度活动计划</w:t>
            </w:r>
          </w:p>
        </w:tc>
      </w:tr>
      <w:tr>
        <w:tc>
          <w:tcPr>
            <w:tcW w:w="10464" w:type="dxa"/>
            <w:vAlign w:val="top"/>
          </w:tcPr>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团拟每周开展一次45—60分钟的活动，根据学校校历与考试安排弹性调整。常规活动围绕研究训练和作品推进展开，每学期拟安排两场面向全校的开放沙龙及一次期末学生经济研究论坛。其余拓展活动依据成员兴趣、人员投入和场地条件择优开展，优先保证研究、编辑和成果交流能够完整完成。</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第一学期前段：招新、研究入门与选题形成</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9月拟组织招新说明会、兴趣交流和“选题交易所”，引导每位成员提出一个具体问题，由同伴追问和编辑反馈帮助缩小范围。配套开展“一张图读懂经济”、资料检索与引用入门、论文拆解读书会等活动，学习辨别信息来源、理解数据口径，并区分事实、解释与个人判断。成员以个人或两人小组确定研究方向，完成选题卡、主要来源清单和初步提纲，同时明确作者、编辑、数据及活动岗位的分工。</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第一学期中段：数据研究、专题讨论与初稿修改</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10—11月拟交替开展数据与引用门诊、因果与相关工作坊、研究进度交流和初稿诊所。数据活动从公开资料出发，鼓励成员重做一张图或一个描述统计量，解释样本、时间范围和计算方式；初稿诊所围绕真实稿件提出可执行修改建议，帮助作者建立清楚的论证结构。同期举办“新兴市场主题沙龙”和“经济学公共圆桌”，分别围绕产业升级、区域合作以及AI对就业或教育机会的影响展开证据展示与讨论，并将现场问题带回研究过程。</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第一学期期末：交叉评议、学生论坛与首期社刊</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12月至学期末拟开展编辑交换日、图表与版式工作坊、事实核查和报告彩排。两名同伴交叉评议主稿，作者提交修改记录；数据成员核对关键图表与原始来源，视觉成员统一格式。期末论坛面向全校征集摘要，为成熟作品和阶段成果分别安排口头报告或海报展示，并记录评议意见。会后根据反馈继续修订，形成首期《实验经济评论》，通过社刊发布与读者编辑会介绍成果、收集读者问题，建立勘误入口和下一期选题清单。</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第二学期：扩大校内参与，开展跨社团合作</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第二学期拟轮换研究主题和编辑岗位，面向全校开展经济短文征集，邀请同学从日常生活中的资源分配、消费选择或公共服务提出问题，通过反馈会支持新作者修改作品。拟与数学、模联或辩论等社团协商开展经济模型联合工坊、政策简报挑战或跨社团圆桌，帮助成员将不同学科方法应用于共同议题。研究训练继续安排公开图表复现挑战、校园经济观察和研究失败复盘，鼓励成员解释与预期不符的结果，形成更谨慎的结论。</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在师资和人员条件允许时，拟增加研究者访谈、校友研究经验分享和5—8分钟经济问题音频短谈，将复杂研究转化为同学能够理解的内容。访谈以研究方法、问题意识和真实经历为重点，录音及公开材料经相关人员确认后使用。学期末拟举办第二次学生经济研究论坛，完成第二期社刊，并整理年度作品目录、活动反馈及负责人交接手册。</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年度成果与参与评价</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全年拟形成两期电子刊、四场开放沙龙、两次学生研究论坛及一份年度成果目录。评价兼顾作品质量、初稿到终稿的改进、成员持续参与和团队合作贡献，不只统计活动数量。若首期人员或校历不足，则缩小稿件和论坛规模，保留研究训练、同伴反馈与成果展示的完整过程，待运行稳定后逐步扩大参与范围。</w:t>
            </w:r>
          </w:p>
        </w:tc>
      </w:tr>
    </w:tbl>
    <w:p>
      <w:pPr>
        <w:spacing w:before="0" w:after="0" w:line="20" w:lineRule="exact"/>
      </w:pPr>
      <w:r>
        <w:br w:type="page"/>
      </w:r>
    </w:p>
    <w:tbl>
      <w:tblPr>
        <w:tblStyle w:val="5"/>
        <w:tblW w:w="10464"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100" w:type="dxa"/>
          <w:bottom w:w="75" w:type="dxa"/>
          <w:right w:w="100" w:type="dxa"/>
        </w:tblCellMar>
      </w:tblPr>
      <w:tblGrid>
        <w:gridCol w:w="10464"/>
      </w:tblGrid>
      <w:tr>
        <w:trPr>
          <w:tblHeader/>
        </w:trPr>
        <w:tc>
          <w:tcPr>
            <w:tcW w:w="10464" w:type="dxa"/>
            <w:vAlign w:val="center"/>
          </w:tcPr>
          <w:p>
            <w:pPr>
              <w:keepNext w:val="0"/>
              <w:keepLines w:val="0"/>
              <w:pageBreakBefore w:val="0"/>
              <w:widowControl/>
              <w:spacing w:before="0" w:after="40" w:line="400" w:lineRule="exact"/>
              <w:ind w:left="0" w:right="0" w:firstLine="0"/>
              <w:jc w:val="center"/>
            </w:pPr>
            <w:r>
              <w:rPr>
                <w:rFonts w:ascii="Calibri" w:hAnsi="Calibri" w:eastAsia="Noto Sans CJK SC"/>
                <w:b/>
                <w:color w:val="000000"/>
                <w:sz w:val="26"/>
              </w:rPr>
              <w:t>是否愿意承办学生沙龙活动</w:t>
            </w:r>
          </w:p>
        </w:tc>
      </w:tr>
      <w:tr>
        <w:tc>
          <w:tcPr>
            <w:tcW w:w="10464" w:type="dxa"/>
            <w:vAlign w:val="top"/>
          </w:tcPr>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常态化开放沙龙：让全校同学参与经济问题讨论</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本社团愿意承办面向全校学生的特色集会活动。常态沙龙拟每学期两场，每场约60分钟，可采用15分钟学生导读与关键证据展示、20分钟分组讨论、25分钟教师及同伴反馈的形式。首批备选主题包括“越南产业升级与区域合作”“AI如何改变就业与教育机会”“公共交通补贴应如何分配”等。社员负责主持、导读和材料准备，拟邀请校内经济学相关教师点评，帮助参与者围绕具体资料提出问题、回应不同观点。</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期末学生经济研究论坛：从沙龙拓展为成果交流活动</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社团拟在学期末承办“实验学生经济研究论坛”（Student Economics Research Symposium），作为全年重点活动。首届以校内交流为主，面向全校征集研究摘要并开放旁听，拟安排40—60人、180分钟，设置4个学生口头报告及4—6张研究海报。参与者既可展示较完整的文章，也可展示尚在进行的研究，并明确已有发现、研究局限和下一步计划；非作者同学亦可担任评议人、主持人或会务志愿者。</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论坛拟提前四周发布征集说明，接收300—500字中文摘要或200—300词英文摘要，内容包括研究问题、资料与方法、初步发现及局限。编辑组结合问题清晰度、经济关联、证据基础和准备程度遴选报告与海报，提前两周确定名单，提前一周将材料交给评议人，并组织学生彩排。点评嘉宾优先邀请校内教师；经学校同意后，可进一步邀请校友或校外研究人员分享经验，具体嘉宾与场地以落实情况为准。</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现场拟安排10分钟开场、15分钟教师导引、两组各44分钟的专题报告、20分钟海报交流与休息、25分钟研究心得圆桌、17分钟教师反馈和5分钟结束说明。每个口头报告采用“10分钟展示、5分钟同伴评议、7分钟现场问答”，评议人提前准备一项研究贡献、一个关键疑问和一条修改建议。研究心得圆桌邀请成员分享资料不足、结果不符预期、方法调整和观点变化的经历，使活动兼顾成果交流与研究过程的反思。</w:t>
            </w:r>
          </w:p>
          <w:p>
            <w:pPr>
              <w:keepNext w:val="0"/>
              <w:keepLines w:val="0"/>
              <w:pageBreakBefore w:val="0"/>
              <w:widowControl/>
              <w:spacing w:before="100" w:after="60" w:line="330" w:lineRule="exact"/>
              <w:ind w:left="0" w:right="0" w:firstLine="0"/>
              <w:jc w:val="left"/>
            </w:pPr>
            <w:r>
              <w:rPr>
                <w:rFonts w:ascii="Calibri" w:hAnsi="Calibri" w:eastAsia="Noto Sans CJK SC"/>
                <w:b/>
                <w:color w:val="000000"/>
                <w:sz w:val="22"/>
              </w:rPr>
              <w:t>会后修订、资源保障与持续开展</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会后拟在一周内收集修订计划、两周内收集修改稿，形成经作者确认的摘要集、评议记录与活动纪要。拟收入社刊的全文仍须完成独立编辑与核查，论坛展示不自动等于刊物录用。活动由社长统筹，编辑组负责学术材料与评议，活动组负责报名、主持、计时和设备，指导教师提供支持。优先使用学校现有教室、投影和展示设施，采用电子议程与电子刊，首届耗材及少量印刷预算拟控制在500元以内。条件不足时可改为90分钟、3场报告的小型校内论坛。</w:t>
            </w:r>
          </w:p>
          <w:p>
            <w:pPr>
              <w:keepNext w:val="0"/>
              <w:keepLines w:val="0"/>
              <w:pageBreakBefore w:val="0"/>
              <w:widowControl/>
              <w:spacing w:before="0" w:after="100" w:line="330" w:lineRule="exact"/>
              <w:ind w:left="0" w:right="0" w:firstLine="420"/>
              <w:jc w:val="left"/>
            </w:pPr>
            <w:r>
              <w:rPr>
                <w:rFonts w:ascii="Calibri" w:hAnsi="Calibri" w:eastAsia="Noto Sans CJK SC"/>
                <w:b w:val="0"/>
                <w:color w:val="000000"/>
                <w:sz w:val="21"/>
              </w:rPr>
              <w:t>以上刊物建设与活动均为拟开展计划，旨在以持续研究和公开交流丰富校园学术生活。社团将根据学校安排落实场地、嘉宾与发布方式，并在每次活动后收集意见，逐步改进组织形式与内容质量。</w:t>
            </w:r>
          </w:p>
          <w:p>
            <w:pPr>
              <w:keepNext w:val="0"/>
              <w:keepLines w:val="0"/>
              <w:pageBreakBefore w:val="0"/>
              <w:widowControl/>
              <w:spacing w:before="0" w:after="60" w:line="220" w:lineRule="exact"/>
              <w:ind w:left="0" w:right="0" w:firstLine="0"/>
              <w:jc w:val="left"/>
            </w:pPr>
            <w:r>
              <w:rPr>
                <w:rFonts w:ascii="Calibri" w:hAnsi="Calibri" w:eastAsia="Noto Sans CJK SC"/>
                <w:b w:val="0"/>
                <w:color w:val="000000"/>
                <w:sz w:val="16"/>
              </w:rPr>
              <w:t>办刊模式参考：</w:t>
            </w:r>
            <w:r>
              <w:fldChar w:fldCharType="begin"/>
            </w:r>
            <w:r>
              <w:instrText xml:space="preserve"> HYPERLINK "https://cer.econ.columbia.edu/" \h </w:instrText>
            </w:r>
            <w:r>
              <w:fldChar w:fldCharType="separate"/>
            </w:r>
            <w:r>
              <w:rPr>
                <w:sz w:val="16"/>
              </w:rPr>
              <w:t>CER官方主页</w:t>
            </w:r>
            <w:r>
              <w:rPr>
                <w:sz w:val="16"/>
              </w:rPr>
              <w:fldChar w:fldCharType="end"/>
            </w:r>
            <w:r>
              <w:rPr>
                <w:rFonts w:ascii="Calibri" w:hAnsi="Calibri" w:eastAsia="Noto Sans CJK SC"/>
                <w:b w:val="0"/>
                <w:color w:val="000000"/>
                <w:sz w:val="16"/>
              </w:rPr>
              <w:t xml:space="preserve">  </w:t>
            </w:r>
            <w:r>
              <w:fldChar w:fldCharType="begin"/>
            </w:r>
            <w:r>
              <w:instrText xml:space="preserve"> HYPERLINK "https://econ.columbia.edu/publishing-opportunity-cer-submission-inquiry/" \h </w:instrText>
            </w:r>
            <w:r>
              <w:fldChar w:fldCharType="separate"/>
            </w:r>
            <w:r>
              <w:rPr>
                <w:sz w:val="16"/>
              </w:rPr>
              <w:t>经济系征稿说明</w:t>
            </w:r>
            <w:r>
              <w:rPr>
                <w:sz w:val="16"/>
              </w:rPr>
              <w:fldChar w:fldCharType="end"/>
            </w:r>
            <w:r>
              <w:rPr>
                <w:rFonts w:ascii="Calibri" w:hAnsi="Calibri" w:eastAsia="Noto Sans CJK SC"/>
                <w:b w:val="0"/>
                <w:color w:val="000000"/>
                <w:sz w:val="16"/>
              </w:rPr>
              <w:t xml:space="preserve">  </w:t>
            </w:r>
            <w:r>
              <w:fldChar w:fldCharType="begin"/>
            </w:r>
            <w:r>
              <w:instrText xml:space="preserve"> HYPERLINK "https://econ.columbia.edu/last-call-for-submissions-columbia-economic-review/" \h </w:instrText>
            </w:r>
            <w:r>
              <w:fldChar w:fldCharType="separate"/>
            </w:r>
            <w:r>
              <w:rPr>
                <w:sz w:val="16"/>
              </w:rPr>
              <w:t>2024编辑与复现说明</w:t>
            </w:r>
            <w:r>
              <w:rPr>
                <w:sz w:val="16"/>
              </w:rPr>
              <w:fldChar w:fldCharType="end"/>
            </w:r>
            <w:r>
              <w:rPr>
                <w:rFonts w:ascii="Calibri" w:hAnsi="Calibri" w:eastAsia="Noto Sans CJK SC"/>
                <w:b w:val="0"/>
                <w:color w:val="000000"/>
                <w:sz w:val="16"/>
              </w:rPr>
              <w:t xml:space="preserve">  </w:t>
            </w:r>
            <w:r>
              <w:fldChar w:fldCharType="begin"/>
            </w:r>
            <w:r>
              <w:instrText xml:space="preserve"> HYPERLINK "https://www.columbiaspectator.com/archives/orientation-2017-clubs.html" \h </w:instrText>
            </w:r>
            <w:r>
              <w:fldChar w:fldCharType="separate"/>
            </w:r>
            <w:r>
              <w:rPr>
                <w:sz w:val="16"/>
              </w:rPr>
              <w:t>2017社团历史介绍</w:t>
            </w:r>
            <w:r>
              <w:rPr>
                <w:sz w:val="16"/>
              </w:rPr>
              <w:fldChar w:fldCharType="end"/>
            </w:r>
            <w:r>
              <w:rPr>
                <w:rFonts w:ascii="Calibri" w:hAnsi="Calibri" w:eastAsia="Noto Sans CJK SC"/>
                <w:b w:val="0"/>
                <w:color w:val="000000"/>
                <w:sz w:val="16"/>
              </w:rPr>
              <w:t xml:space="preserve">  </w:t>
            </w:r>
          </w:p>
          <w:p>
            <w:pPr>
              <w:keepNext w:val="0"/>
              <w:keepLines w:val="0"/>
              <w:pageBreakBefore w:val="0"/>
              <w:widowControl/>
              <w:spacing w:before="0" w:after="60" w:line="220" w:lineRule="exact"/>
              <w:ind w:left="0" w:right="0" w:firstLine="0"/>
              <w:jc w:val="left"/>
            </w:pPr>
            <w:r>
              <w:rPr>
                <w:rFonts w:ascii="Calibri" w:hAnsi="Calibri" w:eastAsia="Noto Sans CJK SC"/>
                <w:b w:val="0"/>
                <w:color w:val="000000"/>
                <w:sz w:val="16"/>
              </w:rPr>
              <w:t>上述材料用于借鉴学生运营与公共交流思路；本文的高中社团流程、规模和论坛议程为本社团拟议设计。</w:t>
            </w:r>
          </w:p>
        </w:tc>
      </w:tr>
    </w:tbl>
    <w:p>
      <w:pPr>
        <w:keepNext w:val="0"/>
        <w:keepLines w:val="0"/>
        <w:pageBreakBefore w:val="0"/>
        <w:widowControl/>
        <w:spacing w:before="160" w:after="80" w:line="420" w:lineRule="exact"/>
        <w:ind w:left="0" w:right="0" w:firstLine="0"/>
        <w:jc w:val="left"/>
      </w:pPr>
      <w:r>
        <w:rPr>
          <w:rFonts w:ascii="Calibri" w:hAnsi="Calibri" w:eastAsia="Noto Sans CJK SC"/>
          <w:b w:val="0"/>
          <w:color w:val="000000"/>
          <w:sz w:val="22"/>
        </w:rPr>
        <w:t>申请人签字：________________      指导老师签字：________________</w:t>
      </w:r>
    </w:p>
    <w:p>
      <w:pPr>
        <w:keepNext w:val="0"/>
        <w:keepLines w:val="0"/>
        <w:pageBreakBefore w:val="0"/>
        <w:widowControl/>
        <w:spacing w:before="0" w:after="80" w:line="420" w:lineRule="exact"/>
        <w:ind w:left="0" w:right="0" w:firstLine="0"/>
        <w:jc w:val="left"/>
      </w:pPr>
      <w:r>
        <w:rPr>
          <w:rFonts w:ascii="Calibri" w:hAnsi="Calibri" w:eastAsia="Noto Sans CJK SC"/>
          <w:b w:val="0"/>
          <w:color w:val="000000"/>
          <w:sz w:val="22"/>
        </w:rPr>
        <w:t>社员签字（5人以上）：________________________________________________</w:t>
      </w:r>
    </w:p>
    <w:p>
      <w:pPr>
        <w:keepNext w:val="0"/>
        <w:keepLines w:val="0"/>
        <w:pageBreakBefore w:val="0"/>
        <w:widowControl/>
        <w:spacing w:before="0" w:after="80" w:line="420" w:lineRule="exact"/>
        <w:ind w:left="0" w:right="0" w:firstLine="0"/>
        <w:jc w:val="right"/>
      </w:pPr>
      <w:r>
        <w:rPr>
          <w:rFonts w:ascii="Calibri" w:hAnsi="Calibri" w:eastAsia="Noto Sans CJK SC"/>
          <w:b w:val="0"/>
          <w:color w:val="000000"/>
          <w:sz w:val="22"/>
        </w:rPr>
        <w:t>北师大实验中学团委、校学生会    2026年9月</w:t>
      </w:r>
    </w:p>
    <w:sectPr>
      <w:headerReference r:id="rId3" w:type="default"/>
      <w:footerReference r:id="rId4" w:type="default"/>
      <w:pgSz w:w="11906" w:h="16838"/>
      <w:pgMar w:top="720" w:right="720" w:bottom="720" w:left="720" w:header="340" w:footer="3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Noto Sans CJK SC">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w:instrText>
    </w:r>
    <w:r>
      <w:fldChar w:fldCharType="separate"/>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jYzUzMWQ4OWI0YzBkYjYzMDRhZTY5ZjZkYmFmYTgifQ=="/>
    <w:docVar w:name="KSO_WPS_MARK_KEY" w:val="d10d7b3a-e525-44a8-9b51-99d3c2392a66"/>
  </w:docVars>
  <w:rsids>
    <w:rsidRoot w:val="00554406"/>
    <w:rsid w:val="000216CA"/>
    <w:rsid w:val="000F7124"/>
    <w:rsid w:val="00147FAB"/>
    <w:rsid w:val="0018194E"/>
    <w:rsid w:val="001E03D8"/>
    <w:rsid w:val="0022454D"/>
    <w:rsid w:val="00266C0D"/>
    <w:rsid w:val="00370ABD"/>
    <w:rsid w:val="003F5EE3"/>
    <w:rsid w:val="004234D9"/>
    <w:rsid w:val="004D2D57"/>
    <w:rsid w:val="00552FEE"/>
    <w:rsid w:val="00554406"/>
    <w:rsid w:val="005F27DE"/>
    <w:rsid w:val="0060628B"/>
    <w:rsid w:val="006D1DDA"/>
    <w:rsid w:val="0073074B"/>
    <w:rsid w:val="00745B6C"/>
    <w:rsid w:val="009B7502"/>
    <w:rsid w:val="00A64958"/>
    <w:rsid w:val="00AA4FA6"/>
    <w:rsid w:val="00AB6E44"/>
    <w:rsid w:val="00AE0CE2"/>
    <w:rsid w:val="00C163C3"/>
    <w:rsid w:val="00C32D7D"/>
    <w:rsid w:val="00C60969"/>
    <w:rsid w:val="00CF3B97"/>
    <w:rsid w:val="00D11793"/>
    <w:rsid w:val="00E2632C"/>
    <w:rsid w:val="00E53694"/>
    <w:rsid w:val="00EC3556"/>
    <w:rsid w:val="00EE0C8C"/>
    <w:rsid w:val="00EF17A3"/>
    <w:rsid w:val="00F57BEF"/>
    <w:rsid w:val="03C44A97"/>
    <w:rsid w:val="0644547C"/>
    <w:rsid w:val="0A782010"/>
    <w:rsid w:val="181D494B"/>
    <w:rsid w:val="1A027F67"/>
    <w:rsid w:val="1B471E7E"/>
    <w:rsid w:val="25103DE8"/>
    <w:rsid w:val="257AC6C6"/>
    <w:rsid w:val="29753104"/>
    <w:rsid w:val="2BDA5DE2"/>
    <w:rsid w:val="39B44FFA"/>
    <w:rsid w:val="45CD1136"/>
    <w:rsid w:val="543B4CA7"/>
    <w:rsid w:val="54F23C36"/>
    <w:rsid w:val="5D562CB2"/>
    <w:rsid w:val="7C9F0D31"/>
    <w:rsid w:val="F8BF2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16"/>
      <w:szCs w:val="16"/>
    </w:rPr>
  </w:style>
  <w:style w:type="paragraph" w:styleId="3">
    <w:name w:val="footer"/>
    <w:basedOn w:val="1"/>
    <w:link w:val="11"/>
    <w:qFormat/>
    <w:uiPriority w:val="0"/>
    <w:pPr>
      <w:tabs>
        <w:tab w:val="center" w:pos="4153"/>
        <w:tab w:val="right" w:pos="8306"/>
      </w:tabs>
    </w:pPr>
    <w:rPr>
      <w:sz w:val="18"/>
      <w:szCs w:val="18"/>
    </w:rPr>
  </w:style>
  <w:style w:type="paragraph" w:styleId="4">
    <w:name w:val="header"/>
    <w:basedOn w:val="1"/>
    <w:link w:val="10"/>
    <w:qFormat/>
    <w:uiPriority w:val="0"/>
    <w:pPr>
      <w:tabs>
        <w:tab w:val="center" w:pos="4153"/>
        <w:tab w:val="right" w:pos="8306"/>
      </w:tabs>
      <w:jc w:val="center"/>
    </w:pPr>
    <w:rPr>
      <w:sz w:val="18"/>
      <w:szCs w:val="18"/>
    </w:rPr>
  </w:style>
  <w:style w:type="table" w:styleId="6">
    <w:name w:val="Table Grid"/>
    <w:basedOn w:val="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1"/>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14"/>
      <w:szCs w:val="14"/>
    </w:rPr>
  </w:style>
  <w:style w:type="character" w:customStyle="1" w:styleId="10">
    <w:name w:val="页眉 字符"/>
    <w:basedOn w:val="7"/>
    <w:link w:val="4"/>
    <w:qFormat/>
    <w:uiPriority w:val="0"/>
    <w:rPr>
      <w:rFonts w:eastAsia="Arial"/>
      <w:snapToGrid w:val="0"/>
      <w:color w:val="000000"/>
      <w:sz w:val="18"/>
      <w:szCs w:val="18"/>
      <w:lang w:eastAsia="en-US"/>
    </w:rPr>
  </w:style>
  <w:style w:type="character" w:customStyle="1" w:styleId="11">
    <w:name w:val="页脚 字符"/>
    <w:basedOn w:val="7"/>
    <w:link w:val="3"/>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183</Words>
  <Characters>194</Characters>
  <Lines>64</Lines>
  <Paragraphs>37</Paragraphs>
  <TotalTime>4</TotalTime>
  <ScaleCrop>false</ScaleCrop>
  <LinksUpToDate>false</LinksUpToDate>
  <CharactersWithSpaces>340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2026-09-02T00:52:00Z</dcterms:created>
  <dc:creator>Kingsoft-PDF</dc:creator>
  <cp:lastModifiedBy>微信用户</cp:lastModifiedBy>
  <dcterms:modified xsi:type="dcterms:W3CDTF">2026-09-08T12:19:20Z</dcterms:modified>
  <dc:subject>pdfbuilder</dc:subject>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2024-08-28T11:54:39Z</vt:filetime>
  </property>
  <property fmtid="{D5CDD505-2E9C-101B-9397-08002B2CF9AE}" pid="4" name="UsrData">
    <vt:lpwstr>66ce9f7db9fcc4001f35c0ffwl</vt:lpwstr>
  </property>
  <property fmtid="{D5CDD505-2E9C-101B-9397-08002B2CF9AE}" pid="5" name="KSOProductBuildVer">
    <vt:lpwstr>2052-6.7.1.8828</vt:lpwstr>
  </property>
  <property fmtid="{D5CDD505-2E9C-101B-9397-08002B2CF9AE}" pid="6" name="ICV">
    <vt:lpwstr>EB994120469E484B9ED2BC603A77DA4F_13</vt:lpwstr>
  </property>
  <property fmtid="{D5CDD505-2E9C-101B-9397-08002B2CF9AE}" pid="7" name="KSOTemplateDocerSaveRecord">
    <vt:lpwstr>eyJoZGlkIjoiNjViNWVkZjQwY2FkZDM0NTA0NzZkMzk0NDM2MTM3MzIiLCJ1c2VySWQiOiIzNDEwMzcxNTcifQ==</vt:lpwstr>
  </property>
</Properties>
</file>